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4F3F" w14:textId="77777777" w:rsidR="00540C2F" w:rsidRPr="00692FE5" w:rsidRDefault="00540C2F" w:rsidP="00540C2F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 w:rsidRPr="00692FE5">
        <w:rPr>
          <w:rFonts w:ascii="Garamond" w:hAnsi="Garamond"/>
          <w:sz w:val="24"/>
          <w:szCs w:val="24"/>
          <w:lang w:eastAsia="de-DE"/>
        </w:rPr>
        <w:t>Pessoa/Entidade: ____________________________</w:t>
      </w:r>
    </w:p>
    <w:p w14:paraId="5EA5DC9B" w14:textId="77777777" w:rsidR="00540C2F" w:rsidRPr="00692FE5" w:rsidRDefault="00540C2F" w:rsidP="00540C2F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 w:rsidRPr="00692FE5">
        <w:rPr>
          <w:rFonts w:ascii="Garamond" w:hAnsi="Garamond"/>
          <w:sz w:val="24"/>
          <w:szCs w:val="24"/>
          <w:lang w:eastAsia="de-DE"/>
        </w:rPr>
        <w:t xml:space="preserve">Assinalar caso se oponha à publicação dos contributos: </w:t>
      </w:r>
      <w:r w:rsidRPr="00692FE5">
        <w:rPr>
          <w:rFonts w:ascii="Garamond" w:hAnsi="Garamond"/>
          <w:sz w:val="24"/>
          <w:szCs w:val="24"/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692FE5">
        <w:rPr>
          <w:rFonts w:ascii="Garamond" w:hAnsi="Garamond"/>
          <w:sz w:val="24"/>
          <w:szCs w:val="24"/>
          <w:lang w:eastAsia="de-DE"/>
        </w:rPr>
        <w:instrText xml:space="preserve"> FORMCHECKBOX </w:instrText>
      </w:r>
      <w:r w:rsidR="00D97E29">
        <w:rPr>
          <w:rFonts w:ascii="Garamond" w:hAnsi="Garamond"/>
          <w:sz w:val="24"/>
          <w:szCs w:val="24"/>
          <w:lang w:eastAsia="de-DE"/>
        </w:rPr>
      </w:r>
      <w:r w:rsidR="00D97E29">
        <w:rPr>
          <w:rFonts w:ascii="Garamond" w:hAnsi="Garamond"/>
          <w:sz w:val="24"/>
          <w:szCs w:val="24"/>
          <w:lang w:eastAsia="de-DE"/>
        </w:rPr>
        <w:fldChar w:fldCharType="separate"/>
      </w:r>
      <w:r w:rsidRPr="00692FE5">
        <w:rPr>
          <w:rFonts w:ascii="Garamond" w:hAnsi="Garamond"/>
          <w:sz w:val="24"/>
          <w:szCs w:val="24"/>
          <w:lang w:eastAsia="de-DE"/>
        </w:rPr>
        <w:fldChar w:fldCharType="end"/>
      </w:r>
      <w:bookmarkEnd w:id="0"/>
    </w:p>
    <w:p w14:paraId="1C0D1368" w14:textId="77777777" w:rsidR="00540C2F" w:rsidRPr="00692FE5" w:rsidRDefault="00540C2F" w:rsidP="00540C2F">
      <w:pPr>
        <w:spacing w:after="0" w:line="240" w:lineRule="auto"/>
        <w:jc w:val="left"/>
        <w:rPr>
          <w:rFonts w:ascii="Verdana" w:hAnsi="Verdana"/>
          <w:lang w:eastAsia="de-DE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944"/>
        <w:gridCol w:w="5832"/>
        <w:gridCol w:w="1572"/>
        <w:gridCol w:w="3075"/>
      </w:tblGrid>
      <w:tr w:rsidR="00540C2F" w:rsidRPr="00D230F2" w14:paraId="4FFE2B24" w14:textId="77777777" w:rsidTr="00D52928">
        <w:tc>
          <w:tcPr>
            <w:tcW w:w="2142" w:type="dxa"/>
            <w:tcBorders>
              <w:right w:val="nil"/>
            </w:tcBorders>
            <w:shd w:val="clear" w:color="auto" w:fill="F2F2F2"/>
          </w:tcPr>
          <w:p w14:paraId="3CAE423E" w14:textId="77777777" w:rsidR="00540C2F" w:rsidRPr="00692FE5" w:rsidRDefault="00540C2F" w:rsidP="00D52928">
            <w:pPr>
              <w:spacing w:before="120" w:after="0" w:line="240" w:lineRule="auto"/>
              <w:ind w:left="278"/>
              <w:jc w:val="center"/>
              <w:rPr>
                <w:rFonts w:ascii="Verdana" w:hAnsi="Verdana"/>
                <w:b/>
                <w:lang w:eastAsia="de-DE"/>
              </w:rPr>
            </w:pPr>
          </w:p>
        </w:tc>
        <w:tc>
          <w:tcPr>
            <w:tcW w:w="9348" w:type="dxa"/>
            <w:gridSpan w:val="3"/>
            <w:tcBorders>
              <w:left w:val="nil"/>
              <w:right w:val="nil"/>
            </w:tcBorders>
            <w:shd w:val="clear" w:color="auto" w:fill="F2F2F2"/>
          </w:tcPr>
          <w:p w14:paraId="0430069D" w14:textId="77777777" w:rsidR="00540C2F" w:rsidRPr="00692FE5" w:rsidRDefault="00540C2F" w:rsidP="00D52928">
            <w:pPr>
              <w:keepNext/>
              <w:tabs>
                <w:tab w:val="left" w:pos="2220"/>
                <w:tab w:val="center" w:pos="4431"/>
              </w:tabs>
              <w:spacing w:before="120" w:after="60" w:line="240" w:lineRule="auto"/>
              <w:jc w:val="left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692FE5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ab/>
            </w:r>
            <w:r w:rsidRPr="00692FE5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ab/>
              <w:t>TABELA DE COMENTÁRIOS</w:t>
            </w:r>
          </w:p>
          <w:p w14:paraId="417A7074" w14:textId="77777777" w:rsidR="00540C2F" w:rsidRPr="00692FE5" w:rsidRDefault="00540C2F" w:rsidP="00D52928">
            <w:pPr>
              <w:keepNext/>
              <w:spacing w:before="120" w:after="60" w:line="240" w:lineRule="auto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692FE5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Projeto de norma regulamentar </w:t>
            </w:r>
            <w:r w:rsidRPr="000302B3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sobre as notificações relativas à obrigação de compensação e notificações e pedidos de isenção para as transações intragrupo no âmbito do EMIR</w:t>
            </w:r>
          </w:p>
        </w:tc>
        <w:tc>
          <w:tcPr>
            <w:tcW w:w="3075" w:type="dxa"/>
            <w:tcBorders>
              <w:left w:val="nil"/>
            </w:tcBorders>
            <w:shd w:val="clear" w:color="auto" w:fill="F2F2F2"/>
          </w:tcPr>
          <w:p w14:paraId="1138ED8E" w14:textId="77777777" w:rsidR="00540C2F" w:rsidRPr="00692FE5" w:rsidRDefault="00540C2F" w:rsidP="00D52928">
            <w:pPr>
              <w:spacing w:before="120" w:after="0" w:line="240" w:lineRule="auto"/>
              <w:ind w:left="278"/>
              <w:jc w:val="center"/>
              <w:rPr>
                <w:rFonts w:ascii="Garamond" w:hAnsi="Garamond"/>
                <w:b/>
                <w:sz w:val="24"/>
                <w:szCs w:val="24"/>
                <w:lang w:eastAsia="de-DE"/>
              </w:rPr>
            </w:pPr>
          </w:p>
        </w:tc>
      </w:tr>
      <w:tr w:rsidR="00540C2F" w:rsidRPr="00D230F2" w14:paraId="57175C38" w14:textId="77777777" w:rsidTr="00D52928">
        <w:tc>
          <w:tcPr>
            <w:tcW w:w="145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4C9D3A6" w14:textId="77777777" w:rsidR="00540C2F" w:rsidRPr="00692FE5" w:rsidRDefault="00540C2F" w:rsidP="00D5292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  <w:t>Indicações:</w:t>
            </w:r>
          </w:p>
          <w:p w14:paraId="2DC983C3" w14:textId="77777777" w:rsidR="00540C2F" w:rsidRPr="00692FE5" w:rsidRDefault="00540C2F" w:rsidP="00D5292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Na coluna “Artigo”, indicar o artigo (incluindo o número e a alínea, caso aplicável) do projeto de norma regulamentar </w:t>
            </w:r>
            <w:r w:rsidRPr="000302B3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sobre as notificações relativas à obrigação de compensação e notificações e pedidos de isenção para as transações intragrupo no âmbito do EMIR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;</w:t>
            </w:r>
          </w:p>
          <w:p w14:paraId="26D09E5E" w14:textId="77777777" w:rsidR="00540C2F" w:rsidRPr="00692FE5" w:rsidRDefault="00540C2F" w:rsidP="00D5292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Na coluna “Comentário”, indicar o comentário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à disposição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 do projeto de norma regulamentar </w:t>
            </w:r>
            <w:r w:rsidRPr="000302B3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sobre as notificações relativas à obrigação de compensação e notificações e pedidos de isenção para as transações intragrupo no âmbito do EMIR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, incluindo qualquer proposta de redação alternativa;</w:t>
            </w:r>
          </w:p>
          <w:p w14:paraId="2C583D6A" w14:textId="77777777" w:rsidR="00540C2F" w:rsidRPr="00692FE5" w:rsidRDefault="00540C2F" w:rsidP="00D5292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Cada comentário/proposta de redação alternativa deve reportar-se a um artigo/número/alínea específicos;</w:t>
            </w:r>
          </w:p>
          <w:p w14:paraId="5038C700" w14:textId="77777777" w:rsidR="00540C2F" w:rsidRPr="00692FE5" w:rsidRDefault="00540C2F" w:rsidP="00D5292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Em cada comentário/proposta de redação alternativa deve ser apresentada uma justificação para o seu acolhimento, podendo ainda ser acrescentadas outras observações.</w:t>
            </w:r>
          </w:p>
          <w:p w14:paraId="2D372D62" w14:textId="77777777" w:rsidR="00540C2F" w:rsidRPr="00692FE5" w:rsidRDefault="00540C2F" w:rsidP="00D5292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A coluna “Resolução” corresponde à resolução de cada comentário/proposta de redação alternativa ou observação e será preenchida pela ASF.</w:t>
            </w:r>
          </w:p>
          <w:p w14:paraId="38D4CF09" w14:textId="77777777" w:rsidR="00540C2F" w:rsidRPr="00692FE5" w:rsidRDefault="00540C2F" w:rsidP="00D5292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540C2F" w:rsidRPr="00692FE5" w14:paraId="2B14E2DA" w14:textId="77777777" w:rsidTr="00D52928">
        <w:tc>
          <w:tcPr>
            <w:tcW w:w="4086" w:type="dxa"/>
            <w:gridSpan w:val="2"/>
            <w:shd w:val="clear" w:color="auto" w:fill="F2F2F2"/>
          </w:tcPr>
          <w:p w14:paraId="3639A2EA" w14:textId="77777777" w:rsidR="00540C2F" w:rsidRPr="00692FE5" w:rsidRDefault="00540C2F" w:rsidP="00D5292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Artigo</w:t>
            </w:r>
            <w:proofErr w:type="spellEnd"/>
          </w:p>
        </w:tc>
        <w:tc>
          <w:tcPr>
            <w:tcW w:w="5832" w:type="dxa"/>
            <w:shd w:val="clear" w:color="auto" w:fill="F2F2F2"/>
          </w:tcPr>
          <w:p w14:paraId="5C2BCB4A" w14:textId="77777777" w:rsidR="00540C2F" w:rsidRPr="00692FE5" w:rsidRDefault="00540C2F" w:rsidP="00D5292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Comentário</w:t>
            </w:r>
            <w:proofErr w:type="spellEnd"/>
          </w:p>
        </w:tc>
        <w:tc>
          <w:tcPr>
            <w:tcW w:w="4647" w:type="dxa"/>
            <w:gridSpan w:val="2"/>
            <w:shd w:val="clear" w:color="auto" w:fill="F2F2F2"/>
          </w:tcPr>
          <w:p w14:paraId="1722BF62" w14:textId="77777777" w:rsidR="00540C2F" w:rsidRPr="00692FE5" w:rsidRDefault="00540C2F" w:rsidP="00D5292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Resolução</w:t>
            </w:r>
            <w:proofErr w:type="spellEnd"/>
          </w:p>
        </w:tc>
      </w:tr>
      <w:tr w:rsidR="00540C2F" w:rsidRPr="00692FE5" w14:paraId="45BF1EB8" w14:textId="77777777" w:rsidTr="00D52928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5B4F8D46" w14:textId="77777777" w:rsidR="00540C2F" w:rsidRPr="00692FE5" w:rsidRDefault="00540C2F" w:rsidP="00D5292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15EBAC98" w14:textId="77777777" w:rsidR="00540C2F" w:rsidRPr="00692FE5" w:rsidRDefault="00540C2F" w:rsidP="00D52928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highlight w:val="yellow"/>
                <w:lang w:val="en-US" w:eastAsia="de-DE"/>
              </w:rPr>
            </w:pPr>
          </w:p>
        </w:tc>
        <w:tc>
          <w:tcPr>
            <w:tcW w:w="4647" w:type="dxa"/>
            <w:gridSpan w:val="2"/>
          </w:tcPr>
          <w:p w14:paraId="0D4907DB" w14:textId="77777777" w:rsidR="00540C2F" w:rsidRPr="00692FE5" w:rsidRDefault="00540C2F" w:rsidP="00D5292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540C2F" w:rsidRPr="00692FE5" w14:paraId="6188E95E" w14:textId="77777777" w:rsidTr="00D52928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500A6198" w14:textId="77777777" w:rsidR="00540C2F" w:rsidRPr="00692FE5" w:rsidRDefault="00540C2F" w:rsidP="00D5292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394EDB83" w14:textId="77777777" w:rsidR="00540C2F" w:rsidRPr="00692FE5" w:rsidRDefault="00540C2F" w:rsidP="00D52928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lang w:val="en-GB" w:eastAsia="de-DE"/>
              </w:rPr>
            </w:pPr>
          </w:p>
        </w:tc>
        <w:tc>
          <w:tcPr>
            <w:tcW w:w="4647" w:type="dxa"/>
            <w:gridSpan w:val="2"/>
          </w:tcPr>
          <w:p w14:paraId="2147FB85" w14:textId="77777777" w:rsidR="00540C2F" w:rsidRPr="00692FE5" w:rsidRDefault="00540C2F" w:rsidP="00D5292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540C2F" w:rsidRPr="00692FE5" w14:paraId="51FC6275" w14:textId="77777777" w:rsidTr="00D52928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5C6DA2FF" w14:textId="77777777" w:rsidR="00540C2F" w:rsidRPr="00692FE5" w:rsidRDefault="00540C2F" w:rsidP="00D5292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75130765" w14:textId="77777777" w:rsidR="00540C2F" w:rsidRPr="00692FE5" w:rsidRDefault="00540C2F" w:rsidP="00D52928">
            <w:pPr>
              <w:tabs>
                <w:tab w:val="left" w:pos="284"/>
              </w:tabs>
              <w:spacing w:before="120" w:after="60" w:line="240" w:lineRule="auto"/>
              <w:rPr>
                <w:rFonts w:ascii="Garamond" w:hAnsi="Garamond" w:cs="Arial"/>
                <w:color w:val="000000"/>
                <w:sz w:val="24"/>
                <w:szCs w:val="24"/>
                <w:lang w:val="en-GB" w:eastAsia="en-US"/>
              </w:rPr>
            </w:pPr>
          </w:p>
        </w:tc>
        <w:tc>
          <w:tcPr>
            <w:tcW w:w="4647" w:type="dxa"/>
            <w:gridSpan w:val="2"/>
          </w:tcPr>
          <w:p w14:paraId="760FAA12" w14:textId="77777777" w:rsidR="00540C2F" w:rsidRPr="00692FE5" w:rsidRDefault="00540C2F" w:rsidP="00D5292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</w:tbl>
    <w:p w14:paraId="5A5A0E53" w14:textId="77777777" w:rsidR="00540C2F" w:rsidRPr="00032A7C" w:rsidRDefault="00540C2F" w:rsidP="00540C2F">
      <w:pPr>
        <w:spacing w:after="0"/>
        <w:rPr>
          <w:rFonts w:ascii="Arial Narrow" w:hAnsi="Arial Narrow" w:cs="Arial"/>
          <w:sz w:val="24"/>
          <w:szCs w:val="24"/>
        </w:rPr>
      </w:pPr>
    </w:p>
    <w:p w14:paraId="20258CDF" w14:textId="77777777" w:rsidR="0095511E" w:rsidRDefault="0095511E"/>
    <w:sectPr w:rsidR="0095511E" w:rsidSect="003F0992">
      <w:headerReference w:type="default" r:id="rId7"/>
      <w:footerReference w:type="even" r:id="rId8"/>
      <w:footerReference w:type="default" r:id="rId9"/>
      <w:pgSz w:w="16838" w:h="11906" w:orient="landscape"/>
      <w:pgMar w:top="2259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1ECB" w14:textId="77777777" w:rsidR="003C2F12" w:rsidRDefault="0077269D">
      <w:pPr>
        <w:spacing w:after="0" w:line="240" w:lineRule="auto"/>
      </w:pPr>
      <w:r>
        <w:separator/>
      </w:r>
    </w:p>
  </w:endnote>
  <w:endnote w:type="continuationSeparator" w:id="0">
    <w:p w14:paraId="63574CBA" w14:textId="77777777" w:rsidR="003C2F12" w:rsidRDefault="0077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A31A" w14:textId="77777777" w:rsidR="003F0992" w:rsidRDefault="00540C2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3A9EC05" w14:textId="77777777" w:rsidR="003F0992" w:rsidRDefault="00D97E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262C" w14:textId="77777777" w:rsidR="003F0992" w:rsidRDefault="00540C2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73C273F" w14:textId="77777777" w:rsidR="003F0992" w:rsidRPr="003A10ED" w:rsidRDefault="00D97E29" w:rsidP="003F0992">
    <w:pPr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76BC" w14:textId="77777777" w:rsidR="003C2F12" w:rsidRDefault="0077269D">
      <w:pPr>
        <w:spacing w:after="0" w:line="240" w:lineRule="auto"/>
      </w:pPr>
      <w:r>
        <w:separator/>
      </w:r>
    </w:p>
  </w:footnote>
  <w:footnote w:type="continuationSeparator" w:id="0">
    <w:p w14:paraId="46C1206E" w14:textId="77777777" w:rsidR="003C2F12" w:rsidRDefault="0077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EBBB" w14:textId="4E998130" w:rsidR="003F0992" w:rsidRDefault="00540C2F" w:rsidP="00D97E29">
    <w:pPr>
      <w:pStyle w:val="Cabealho"/>
    </w:pPr>
    <w:r>
      <w:rPr>
        <w:rFonts w:ascii="Garamond" w:hAnsi="Garamond"/>
        <w:noProof/>
        <w:position w:val="0"/>
        <w:sz w:val="24"/>
        <w:szCs w:val="24"/>
      </w:rPr>
      <w:drawing>
        <wp:inline distT="0" distB="0" distL="0" distR="0" wp14:anchorId="4BE46E9A" wp14:editId="60664608">
          <wp:extent cx="1079500" cy="58420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52"/>
    <w:rsid w:val="003C2F12"/>
    <w:rsid w:val="00540C2F"/>
    <w:rsid w:val="0077269D"/>
    <w:rsid w:val="0095511E"/>
    <w:rsid w:val="00994252"/>
    <w:rsid w:val="00D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E1517-0C68-4109-9D96-13D255EC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C2F"/>
    <w:pPr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540C2F"/>
  </w:style>
  <w:style w:type="paragraph" w:styleId="Cabealho">
    <w:name w:val="header"/>
    <w:basedOn w:val="Normal"/>
    <w:link w:val="CabealhoCarter"/>
    <w:uiPriority w:val="99"/>
    <w:rsid w:val="00540C2F"/>
    <w:pPr>
      <w:tabs>
        <w:tab w:val="center" w:pos="4252"/>
        <w:tab w:val="right" w:pos="8504"/>
      </w:tabs>
      <w:spacing w:after="0" w:line="240" w:lineRule="auto"/>
      <w:jc w:val="center"/>
    </w:pPr>
    <w:rPr>
      <w:position w:val="6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40C2F"/>
    <w:rPr>
      <w:rFonts w:ascii="Arial" w:eastAsia="Times New Roman" w:hAnsi="Arial" w:cs="Times New Roman"/>
      <w:position w:val="6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540C2F"/>
    <w:pPr>
      <w:tabs>
        <w:tab w:val="center" w:pos="4252"/>
        <w:tab w:val="right" w:pos="8504"/>
      </w:tabs>
      <w:jc w:val="center"/>
    </w:pPr>
    <w:rPr>
      <w:position w:val="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40C2F"/>
    <w:rPr>
      <w:rFonts w:ascii="Arial" w:eastAsia="Times New Roman" w:hAnsi="Arial" w:cs="Times New Roman"/>
      <w:position w:val="6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77269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4E0B-3A52-46A5-B073-E9A7D0AD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DRS_2024</dc:creator>
  <cp:keywords/>
  <dc:description/>
  <cp:lastModifiedBy>SF</cp:lastModifiedBy>
  <cp:revision>3</cp:revision>
  <dcterms:created xsi:type="dcterms:W3CDTF">2024-01-22T11:39:00Z</dcterms:created>
  <dcterms:modified xsi:type="dcterms:W3CDTF">2024-02-20T16:32:00Z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